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4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3698"/>
        <w:gridCol w:w="2221"/>
        <w:gridCol w:w="2653"/>
      </w:tblGrid>
      <w:tr w:rsidR="003B1B7F" w14:paraId="25B5EAA4" w14:textId="77777777" w:rsidTr="003B1B7F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20082A" w14:textId="77777777" w:rsidR="003B1B7F" w:rsidRDefault="003B1B7F" w:rsidP="000B43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object w:dxaOrig="1980" w:dyaOrig="1440" w14:anchorId="674F81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4" o:title=""/>
                </v:shape>
                <o:OLEObject Type="Embed" ProgID="MSPhotoEd.3" ShapeID="_x0000_i1025" DrawAspect="Content" ObjectID="_1652787327" r:id="rId5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61F02" w14:textId="77777777" w:rsidR="003B1B7F" w:rsidRDefault="003B1B7F" w:rsidP="000B433A">
            <w:pPr>
              <w:keepNext/>
              <w:keepLines/>
              <w:tabs>
                <w:tab w:val="left" w:pos="0"/>
              </w:tabs>
              <w:spacing w:after="0" w:line="240" w:lineRule="auto"/>
              <w:outlineLvl w:val="4"/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eastAsia="pt-BR"/>
              </w:rPr>
              <w:t>Atividades de  Ciências .</w:t>
            </w:r>
          </w:p>
          <w:p w14:paraId="72404AFE" w14:textId="77777777" w:rsidR="003B1B7F" w:rsidRDefault="003B1B7F" w:rsidP="000B433A">
            <w:pPr>
              <w:spacing w:after="0" w:line="240" w:lineRule="auto"/>
              <w:ind w:right="-11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Diretora: Marta Maria Falchetti</w:t>
            </w:r>
          </w:p>
          <w:p w14:paraId="2789E61D" w14:textId="77777777" w:rsidR="003B1B7F" w:rsidRDefault="003B1B7F" w:rsidP="000B433A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Diretora adjunta: Ana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Epeling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Turmina</w:t>
            </w:r>
            <w:proofErr w:type="spellEnd"/>
          </w:p>
          <w:p w14:paraId="704DB97A" w14:textId="77777777" w:rsidR="003B1B7F" w:rsidRDefault="003B1B7F" w:rsidP="000B433A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Coordenadora: Tânia Gonçalves da Silva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Bressan</w:t>
            </w:r>
            <w:proofErr w:type="spellEnd"/>
          </w:p>
          <w:p w14:paraId="70D18071" w14:textId="77777777" w:rsidR="003B1B7F" w:rsidRDefault="003B1B7F" w:rsidP="000B433A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Orientadora: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Marinez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Zanetti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Zago</w:t>
            </w:r>
            <w:proofErr w:type="spellEnd"/>
          </w:p>
          <w:p w14:paraId="30396A75" w14:textId="77777777" w:rsidR="003B1B7F" w:rsidRDefault="003B1B7F" w:rsidP="000B433A">
            <w:pPr>
              <w:spacing w:after="0" w:line="240" w:lineRule="auto"/>
              <w:ind w:right="-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Secretária:  Roseli Aparecida Fiuza da Rosa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Civiero</w:t>
            </w:r>
            <w:proofErr w:type="spellEnd"/>
          </w:p>
        </w:tc>
      </w:tr>
      <w:tr w:rsidR="003B1B7F" w14:paraId="16B1C25B" w14:textId="77777777" w:rsidTr="003B1B7F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F74AC7" w14:textId="77777777" w:rsidR="003B1B7F" w:rsidRDefault="003B1B7F" w:rsidP="000B433A">
            <w:pPr>
              <w:keepNext/>
              <w:keepLines/>
              <w:tabs>
                <w:tab w:val="left" w:pos="2160"/>
              </w:tabs>
              <w:spacing w:after="0" w:line="240" w:lineRule="auto"/>
              <w:outlineLvl w:val="4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  <w:bCs/>
              </w:rPr>
              <w:t>Professor (a):</w:t>
            </w:r>
            <w:r>
              <w:rPr>
                <w:rFonts w:ascii="Arial" w:eastAsia="Times New Roman" w:hAnsi="Arial"/>
              </w:rPr>
              <w:t xml:space="preserve"> Thiago </w:t>
            </w:r>
            <w:proofErr w:type="spellStart"/>
            <w:r>
              <w:rPr>
                <w:rFonts w:ascii="Arial" w:eastAsia="Times New Roman" w:hAnsi="Arial"/>
              </w:rPr>
              <w:t>Dalmolin</w:t>
            </w:r>
            <w:proofErr w:type="spellEnd"/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C8CC8" w14:textId="3746D2C3" w:rsidR="003B1B7F" w:rsidRDefault="003B1B7F" w:rsidP="000B433A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</w:t>
            </w:r>
            <w:r>
              <w:rPr>
                <w:rFonts w:ascii="Arial" w:hAnsi="Arial" w:cs="Arial"/>
                <w:b/>
                <w:bCs/>
              </w:rPr>
              <w:t xml:space="preserve"> abril de </w:t>
            </w:r>
            <w:r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3B1B7F" w14:paraId="7877CE2A" w14:textId="77777777" w:rsidTr="003B1B7F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C79CD8A" w14:textId="77777777" w:rsidR="003B1B7F" w:rsidRDefault="003B1B7F" w:rsidP="000B433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7CEEE9E" w14:textId="55198F51" w:rsidR="003B1B7F" w:rsidRDefault="003B1B7F" w:rsidP="000B433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Turma: </w:t>
            </w:r>
            <w:proofErr w:type="gramStart"/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ano</w:t>
            </w:r>
            <w:proofErr w:type="gramEnd"/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4E1D0" w14:textId="77777777" w:rsidR="003B1B7F" w:rsidRDefault="003B1B7F" w:rsidP="000B433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Nota:</w:t>
            </w:r>
          </w:p>
        </w:tc>
      </w:tr>
    </w:tbl>
    <w:p w14:paraId="272D06CA" w14:textId="77777777" w:rsidR="003B1B7F" w:rsidRDefault="003B1B7F" w:rsidP="003B1B7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05CF40C" w14:textId="77777777" w:rsidR="005172B0" w:rsidRDefault="005172B0">
      <w:pPr>
        <w:rPr>
          <w:rFonts w:ascii="Arial" w:hAnsi="Arial" w:cs="Arial"/>
          <w:color w:val="000000"/>
          <w:sz w:val="22"/>
          <w:szCs w:val="22"/>
        </w:rPr>
      </w:pPr>
    </w:p>
    <w:p w14:paraId="790B2E79" w14:textId="77777777" w:rsidR="005172B0" w:rsidRPr="005172B0" w:rsidRDefault="005172B0">
      <w:pPr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C</w:t>
      </w:r>
      <w:r w:rsidRPr="005172B0">
        <w:rPr>
          <w:rFonts w:ascii="Arial" w:hAnsi="Arial" w:cs="Arial"/>
          <w:b/>
          <w:color w:val="000000"/>
          <w:sz w:val="32"/>
          <w:szCs w:val="32"/>
        </w:rPr>
        <w:t>oronavírus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>!</w:t>
      </w:r>
    </w:p>
    <w:p w14:paraId="3D02C80D" w14:textId="77777777" w:rsidR="00E1520C" w:rsidRPr="005172B0" w:rsidRDefault="005172B0" w:rsidP="003B1B7F">
      <w:pPr>
        <w:rPr>
          <w:rFonts w:ascii="Arial" w:hAnsi="Arial" w:cs="Arial"/>
          <w:color w:val="000000"/>
          <w:sz w:val="22"/>
          <w:szCs w:val="22"/>
        </w:rPr>
      </w:pPr>
      <w:r w:rsidRPr="005172B0">
        <w:rPr>
          <w:rFonts w:ascii="Arial" w:hAnsi="Arial" w:cs="Arial"/>
          <w:color w:val="000000"/>
          <w:sz w:val="22"/>
          <w:szCs w:val="22"/>
        </w:rPr>
        <w:t xml:space="preserve">Os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) são uma grande família viral, conhecidos desde meados dos anos 1960, que causam infecções respiratórias em seres humanos e em animais. Geralmente, infecções por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causam doenças respiratórias leves a moderada, semelhantes a um resfriado comum. A maioria das pessoas se infecta com os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comuns ao longo da vida, sendo as crianças pequenas mais propensas a se infectarem. Os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comuns que infectam humanos são alpha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229E e NL63 e beta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OC43, HKU1.</w:t>
      </w:r>
      <w:r w:rsidRPr="005172B0">
        <w:rPr>
          <w:rFonts w:ascii="Arial" w:hAnsi="Arial" w:cs="Arial"/>
          <w:color w:val="000000"/>
          <w:sz w:val="22"/>
          <w:szCs w:val="22"/>
        </w:rPr>
        <w:br/>
      </w:r>
      <w:r w:rsidRPr="005172B0">
        <w:rPr>
          <w:rFonts w:ascii="Arial" w:hAnsi="Arial" w:cs="Arial"/>
          <w:color w:val="000000"/>
          <w:sz w:val="22"/>
          <w:szCs w:val="22"/>
        </w:rPr>
        <w:br/>
        <w:t xml:space="preserve">Alguns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podem causar síndromes respiratórias graves, como a síndrome respiratória aguda grave que ficou conhecida pela sigla SARS da síndrome em inglês “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Severe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Acute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Respiratory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Syndrome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”. SARS é causada pelo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associado à SARS (SARS-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>), sendo os primeiros relatos na China em 2002. O SARS-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se disseminou rapidamente para mais de doze países na América do Norte, América do Sul, Europa e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Asia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>, infectando mais de 8.000 pessoas e causando entorno de 800 mortes, antes da epidemia global de SARS ser controlada em 2003. Desde 2004, nenhum caso de SARS tem sido relatado mundialmente.</w:t>
      </w:r>
      <w:r w:rsidRPr="005172B0">
        <w:rPr>
          <w:rFonts w:ascii="Arial" w:hAnsi="Arial" w:cs="Arial"/>
          <w:color w:val="000000"/>
          <w:sz w:val="22"/>
          <w:szCs w:val="22"/>
        </w:rPr>
        <w:br/>
      </w:r>
      <w:r w:rsidRPr="005172B0">
        <w:rPr>
          <w:rFonts w:ascii="Arial" w:hAnsi="Arial" w:cs="Arial"/>
          <w:color w:val="000000"/>
          <w:sz w:val="22"/>
          <w:szCs w:val="22"/>
        </w:rPr>
        <w:br/>
        <w:t xml:space="preserve">Em 2012, foi isolado outro novo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, distinto daquele que causou a SARS no começo da década passada. Esse novo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era desconhecido como agente de doença humana até sua identificação, inicialmente na Arábia Saudita e, posteriormente, em outros países do Oriente Médio, na Europa e na África. Todos os casos identificados fora da Península Arábica tinham histórico de viagem ou contato recente com viajantes procedentes de países do Oriente Médio – Arábia Saudita, Catar, Emirados Árabes e Jordânia.</w:t>
      </w:r>
      <w:r w:rsidRPr="005172B0">
        <w:rPr>
          <w:rFonts w:ascii="Arial" w:hAnsi="Arial" w:cs="Arial"/>
          <w:color w:val="000000"/>
          <w:sz w:val="22"/>
          <w:szCs w:val="22"/>
        </w:rPr>
        <w:br/>
      </w:r>
      <w:r w:rsidRPr="005172B0">
        <w:rPr>
          <w:rFonts w:ascii="Arial" w:hAnsi="Arial" w:cs="Arial"/>
          <w:color w:val="000000"/>
          <w:sz w:val="22"/>
          <w:szCs w:val="22"/>
        </w:rPr>
        <w:br/>
        <w:t>Pela localização dos casos, a doença passou a ser designada como síndrome respiratória do Oriente Médio, cuja sigla é MERS, do inglês “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Middle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East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Respiratory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Syndrome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” e o novo vírus nomeado </w:t>
      </w:r>
      <w:proofErr w:type="spellStart"/>
      <w:r w:rsidRPr="005172B0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color w:val="000000"/>
          <w:sz w:val="22"/>
          <w:szCs w:val="22"/>
        </w:rPr>
        <w:t xml:space="preserve"> associado à MERS.</w:t>
      </w:r>
    </w:p>
    <w:p w14:paraId="2EC16A5F" w14:textId="77777777" w:rsidR="005172B0" w:rsidRPr="005172B0" w:rsidRDefault="005172B0" w:rsidP="003B1B7F">
      <w:pPr>
        <w:rPr>
          <w:rFonts w:ascii="Arial" w:hAnsi="Arial" w:cs="Arial"/>
          <w:sz w:val="22"/>
          <w:szCs w:val="22"/>
        </w:rPr>
      </w:pPr>
      <w:r w:rsidRPr="005172B0">
        <w:rPr>
          <w:rFonts w:ascii="Arial" w:hAnsi="Arial" w:cs="Arial"/>
          <w:b/>
          <w:bCs/>
          <w:sz w:val="22"/>
          <w:szCs w:val="22"/>
        </w:rPr>
        <w:t>Manifestações Clínicas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sz w:val="22"/>
          <w:szCs w:val="22"/>
        </w:rPr>
        <w:br/>
        <w:t xml:space="preserve">Os </w:t>
      </w:r>
      <w:proofErr w:type="spellStart"/>
      <w:r w:rsidRPr="005172B0">
        <w:rPr>
          <w:rFonts w:ascii="Arial" w:hAnsi="Arial" w:cs="Arial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sz w:val="22"/>
          <w:szCs w:val="22"/>
        </w:rPr>
        <w:t xml:space="preserve"> humanos comuns causam infecções respiratórias brandas a moderadas de curta duração. Os sintomas podem envolver coriza, tosse, dor de garganta e febre. Esses vírus algumas vezes podem causar infecção das vias respiratórias inferiores, como pneumonia. Esse quadro é mais comum em pessoas com doenças cardiopulmonares, com sistema imunológico comprometido ou em idosos.</w:t>
      </w:r>
      <w:r w:rsidRPr="005172B0">
        <w:rPr>
          <w:rFonts w:ascii="Arial" w:hAnsi="Arial" w:cs="Arial"/>
          <w:sz w:val="22"/>
          <w:szCs w:val="22"/>
        </w:rPr>
        <w:br/>
        <w:t>O MERS-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>, assim como o SARS-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>, causam infecções graves. Para maiores informações sobre as manifestações clínicas do MERS-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>, acesse a página sobre </w:t>
      </w:r>
      <w:hyperlink r:id="rId6" w:history="1">
        <w:r w:rsidRPr="005172B0">
          <w:rPr>
            <w:rStyle w:val="Hyperlink"/>
            <w:rFonts w:ascii="Arial" w:hAnsi="Arial" w:cs="Arial"/>
            <w:sz w:val="22"/>
            <w:szCs w:val="22"/>
          </w:rPr>
          <w:t>MERS-</w:t>
        </w:r>
        <w:proofErr w:type="spellStart"/>
        <w:r w:rsidRPr="005172B0">
          <w:rPr>
            <w:rStyle w:val="Hyperlink"/>
            <w:rFonts w:ascii="Arial" w:hAnsi="Arial" w:cs="Arial"/>
            <w:sz w:val="22"/>
            <w:szCs w:val="22"/>
          </w:rPr>
          <w:t>CoV</w:t>
        </w:r>
        <w:proofErr w:type="spellEnd"/>
      </w:hyperlink>
      <w:r w:rsidRPr="005172B0">
        <w:rPr>
          <w:rFonts w:ascii="Arial" w:hAnsi="Arial" w:cs="Arial"/>
          <w:sz w:val="22"/>
          <w:szCs w:val="22"/>
        </w:rPr>
        <w:t>.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b/>
          <w:bCs/>
          <w:sz w:val="22"/>
          <w:szCs w:val="22"/>
        </w:rPr>
        <w:t>Período de incubação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sz w:val="22"/>
          <w:szCs w:val="22"/>
        </w:rPr>
        <w:lastRenderedPageBreak/>
        <w:br/>
        <w:t>De 2 a 14 dias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b/>
          <w:bCs/>
          <w:sz w:val="22"/>
          <w:szCs w:val="22"/>
        </w:rPr>
        <w:t>Período de Transmissibilidade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sz w:val="22"/>
          <w:szCs w:val="22"/>
        </w:rPr>
        <w:br/>
        <w:t>De uma forma geral, a transmissão viral ocorre apenas enquanto persistirem os sintomas É possível a transmissão viral após a resolução dos sintomas, mas a duração do período de transmissibilidade é desconhecido para o SARS-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 xml:space="preserve"> e o MERS-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>. Durante o período de incubação e casos assintomáticos não são contagiosos.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b/>
          <w:bCs/>
          <w:sz w:val="22"/>
          <w:szCs w:val="22"/>
        </w:rPr>
        <w:t>Transmissão inter-humana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sz w:val="22"/>
          <w:szCs w:val="22"/>
        </w:rPr>
        <w:br/>
        <w:t xml:space="preserve">Todos os </w:t>
      </w:r>
      <w:proofErr w:type="spellStart"/>
      <w:r w:rsidRPr="005172B0">
        <w:rPr>
          <w:rFonts w:ascii="Arial" w:hAnsi="Arial" w:cs="Arial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sz w:val="22"/>
          <w:szCs w:val="22"/>
        </w:rPr>
        <w:t xml:space="preserve"> são transmitidos de pessoa a pessoa, incluindo os SARS-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>, porém sem transmissão sustentada. Com relação ao MERS-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>, existem a OMS considera que há atualmente evidência bem documentada de transmissão de pessoa a pessoa, porém sem evidencias de que ocorra transmissão sustentada.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b/>
          <w:bCs/>
          <w:sz w:val="22"/>
          <w:szCs w:val="22"/>
        </w:rPr>
        <w:br/>
        <w:t>Modo de Transmissão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sz w:val="22"/>
          <w:szCs w:val="22"/>
        </w:rPr>
        <w:br/>
        <w:t xml:space="preserve">De uma forma geral, a principal forma de transmissão dos </w:t>
      </w:r>
      <w:proofErr w:type="spellStart"/>
      <w:r w:rsidRPr="005172B0">
        <w:rPr>
          <w:rFonts w:ascii="Arial" w:hAnsi="Arial" w:cs="Arial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sz w:val="22"/>
          <w:szCs w:val="22"/>
        </w:rPr>
        <w:t xml:space="preserve"> se dá por contato próximo* de pessoa a pessoa.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b/>
          <w:bCs/>
          <w:sz w:val="22"/>
          <w:szCs w:val="22"/>
        </w:rPr>
        <w:br/>
        <w:t>* Definição de contato próximo: </w:t>
      </w:r>
      <w:r w:rsidRPr="005172B0">
        <w:rPr>
          <w:rFonts w:ascii="Arial" w:hAnsi="Arial" w:cs="Arial"/>
          <w:sz w:val="22"/>
          <w:szCs w:val="22"/>
        </w:rPr>
        <w:t>Qualquer pessoa que cuidou do paciente, incluindo profissionais de saúde ou membro da família; que tenha tido contato físico com o paciente; tenha permanecido no mesmo local que o paciente doente (ex.: morado junto ou visitado).</w:t>
      </w:r>
    </w:p>
    <w:p w14:paraId="4D1A9B92" w14:textId="77777777" w:rsidR="005172B0" w:rsidRPr="005172B0" w:rsidRDefault="005172B0" w:rsidP="003B1B7F">
      <w:pPr>
        <w:rPr>
          <w:rFonts w:ascii="Arial" w:hAnsi="Arial" w:cs="Arial"/>
          <w:sz w:val="22"/>
          <w:szCs w:val="22"/>
        </w:rPr>
      </w:pPr>
      <w:r w:rsidRPr="005172B0">
        <w:rPr>
          <w:rFonts w:ascii="Arial" w:hAnsi="Arial" w:cs="Arial"/>
          <w:b/>
          <w:bCs/>
          <w:sz w:val="22"/>
          <w:szCs w:val="22"/>
        </w:rPr>
        <w:t>Fonte de infecção</w:t>
      </w:r>
      <w:r w:rsidRPr="005172B0">
        <w:rPr>
          <w:rFonts w:ascii="Arial" w:hAnsi="Arial" w:cs="Arial"/>
          <w:sz w:val="22"/>
          <w:szCs w:val="22"/>
        </w:rPr>
        <w:br/>
      </w:r>
      <w:r w:rsidRPr="005172B0">
        <w:rPr>
          <w:rFonts w:ascii="Arial" w:hAnsi="Arial" w:cs="Arial"/>
          <w:sz w:val="22"/>
          <w:szCs w:val="22"/>
        </w:rPr>
        <w:br/>
        <w:t xml:space="preserve">A maioria dos </w:t>
      </w:r>
      <w:proofErr w:type="spellStart"/>
      <w:r w:rsidRPr="005172B0">
        <w:rPr>
          <w:rFonts w:ascii="Arial" w:hAnsi="Arial" w:cs="Arial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sz w:val="22"/>
          <w:szCs w:val="22"/>
        </w:rPr>
        <w:t xml:space="preserve"> geralmente infectam apenas uma espécie animal ou, pelo menos um pequeno número de espécies proximamente relacionadas. Porém, alguns </w:t>
      </w:r>
      <w:proofErr w:type="spellStart"/>
      <w:r w:rsidRPr="005172B0">
        <w:rPr>
          <w:rFonts w:ascii="Arial" w:hAnsi="Arial" w:cs="Arial"/>
          <w:sz w:val="22"/>
          <w:szCs w:val="22"/>
        </w:rPr>
        <w:t>coronavírus</w:t>
      </w:r>
      <w:proofErr w:type="spellEnd"/>
      <w:r w:rsidRPr="005172B0">
        <w:rPr>
          <w:rFonts w:ascii="Arial" w:hAnsi="Arial" w:cs="Arial"/>
          <w:sz w:val="22"/>
          <w:szCs w:val="22"/>
        </w:rPr>
        <w:t>, como o SARS-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 xml:space="preserve"> podem infectar pessoas e animais. O reservatório animal para o SARS-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 xml:space="preserve"> é incerto, mas parece estar relacionado com morcegos. </w:t>
      </w:r>
      <w:proofErr w:type="gramStart"/>
      <w:r w:rsidRPr="005172B0">
        <w:rPr>
          <w:rFonts w:ascii="Arial" w:hAnsi="Arial" w:cs="Arial"/>
          <w:sz w:val="22"/>
          <w:szCs w:val="22"/>
        </w:rPr>
        <w:t>Também  existe</w:t>
      </w:r>
      <w:proofErr w:type="gramEnd"/>
      <w:r w:rsidRPr="005172B0">
        <w:rPr>
          <w:rFonts w:ascii="Arial" w:hAnsi="Arial" w:cs="Arial"/>
          <w:sz w:val="22"/>
          <w:szCs w:val="22"/>
        </w:rPr>
        <w:t xml:space="preserve"> a probabilidade de haver um reservatório animal para o  MERS-</w:t>
      </w:r>
      <w:proofErr w:type="spellStart"/>
      <w:r w:rsidRPr="005172B0">
        <w:rPr>
          <w:rFonts w:ascii="Arial" w:hAnsi="Arial" w:cs="Arial"/>
          <w:sz w:val="22"/>
          <w:szCs w:val="22"/>
        </w:rPr>
        <w:t>CoV</w:t>
      </w:r>
      <w:proofErr w:type="spellEnd"/>
      <w:r w:rsidRPr="005172B0">
        <w:rPr>
          <w:rFonts w:ascii="Arial" w:hAnsi="Arial" w:cs="Arial"/>
          <w:sz w:val="22"/>
          <w:szCs w:val="22"/>
        </w:rPr>
        <w:t xml:space="preserve"> que foi isolado de camelos e de morcegos.</w:t>
      </w:r>
    </w:p>
    <w:p w14:paraId="10CF20CF" w14:textId="77777777" w:rsidR="005172B0" w:rsidRPr="005172B0" w:rsidRDefault="005172B0" w:rsidP="003B1B7F">
      <w:pPr>
        <w:rPr>
          <w:sz w:val="24"/>
          <w:szCs w:val="24"/>
        </w:rPr>
      </w:pPr>
      <w:r w:rsidRPr="005172B0">
        <w:rPr>
          <w:b/>
          <w:sz w:val="24"/>
          <w:szCs w:val="24"/>
        </w:rPr>
        <w:t>Atividade</w:t>
      </w:r>
      <w:r w:rsidRPr="005172B0">
        <w:rPr>
          <w:sz w:val="24"/>
          <w:szCs w:val="24"/>
        </w:rPr>
        <w:t xml:space="preserve">: crie um folder ressaltando dados sobre o </w:t>
      </w:r>
      <w:proofErr w:type="spellStart"/>
      <w:r w:rsidRPr="005172B0">
        <w:rPr>
          <w:sz w:val="24"/>
          <w:szCs w:val="24"/>
        </w:rPr>
        <w:t>coronavírus</w:t>
      </w:r>
      <w:proofErr w:type="spellEnd"/>
      <w:r w:rsidRPr="005172B0">
        <w:rPr>
          <w:sz w:val="24"/>
          <w:szCs w:val="24"/>
        </w:rPr>
        <w:t xml:space="preserve"> </w:t>
      </w:r>
      <w:proofErr w:type="gramStart"/>
      <w:r w:rsidRPr="005172B0">
        <w:rPr>
          <w:sz w:val="24"/>
          <w:szCs w:val="24"/>
        </w:rPr>
        <w:t>como  forma</w:t>
      </w:r>
      <w:proofErr w:type="gramEnd"/>
      <w:r w:rsidRPr="005172B0">
        <w:rPr>
          <w:sz w:val="24"/>
          <w:szCs w:val="24"/>
        </w:rPr>
        <w:t xml:space="preserve"> de contágio, prevenções e tratamentos,o trabalho deve ser feito em uma folha e fotografado para posteriormente reenvio, abaixo segue um exemplo para facilitar o desenvolvimento da atividade.</w:t>
      </w:r>
    </w:p>
    <w:p w14:paraId="752A66D5" w14:textId="77777777" w:rsidR="005172B0" w:rsidRDefault="005172B0" w:rsidP="003B1B7F">
      <w:r>
        <w:rPr>
          <w:noProof/>
          <w:lang w:eastAsia="pt-BR"/>
        </w:rPr>
        <w:lastRenderedPageBreak/>
        <w:drawing>
          <wp:inline distT="0" distB="0" distL="0" distR="0" wp14:anchorId="76B7FE13" wp14:editId="0B9B131F">
            <wp:extent cx="2639090" cy="2212456"/>
            <wp:effectExtent l="19050" t="0" r="8860" b="0"/>
            <wp:docPr id="1" name="Imagem 1" descr="C:\Users\window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60" cy="222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2B0" w:rsidSect="00E15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2B0"/>
    <w:rsid w:val="000946BD"/>
    <w:rsid w:val="0018212B"/>
    <w:rsid w:val="003B1B7F"/>
    <w:rsid w:val="00411FAD"/>
    <w:rsid w:val="00496D0A"/>
    <w:rsid w:val="005172B0"/>
    <w:rsid w:val="008A2FA5"/>
    <w:rsid w:val="009C2968"/>
    <w:rsid w:val="00A4777B"/>
    <w:rsid w:val="00B452BC"/>
    <w:rsid w:val="00D02846"/>
    <w:rsid w:val="00E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9970"/>
  <w15:docId w15:val="{F6C52B55-A8C9-484D-9BB5-9F4B99B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color w:val="000000" w:themeColor="text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2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2B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aude.saude.gov.br/index.php/o-ministerio/principal/leia-mais-o-ministerio/638-secretaria-svs/vigilancia-de-a-a-z/coronavirus/13752-mers-cov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Marta Falchetti</cp:lastModifiedBy>
  <cp:revision>2</cp:revision>
  <dcterms:created xsi:type="dcterms:W3CDTF">2020-04-22T18:16:00Z</dcterms:created>
  <dcterms:modified xsi:type="dcterms:W3CDTF">2020-06-04T17:49:00Z</dcterms:modified>
</cp:coreProperties>
</file>